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spacing w:lineRule="auto" w:line="240"/>
        <w:jc w:val="both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u w:val="single"/>
          <w:lang w:val="en-GB" w:eastAsia="en-US" w:bidi="ta-IN"/>
        </w:rPr>
        <w:t>இந்தியத் துணைத் தூதுவர்</w:t>
      </w: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u w:val="single"/>
          <w:lang w:val="en-GB" w:eastAsia="en-US" w:bidi="ta-IN"/>
        </w:rPr>
        <w:t xml:space="preserve">, </w:t>
      </w: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u w:val="single"/>
          <w:lang w:val="en-GB" w:eastAsia="en-US" w:bidi="ta-IN"/>
        </w:rPr>
        <w:t>புதிதாகத் தெரிவு செய்யப்பட்ட வவுனியா நகர சபை மேயருடன் ஆக்கபூர்வமான கலந்துரையாடலை மேற்கொண்டார்</w:t>
      </w: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u w:val="single"/>
          <w:lang w:val="en-GB" w:eastAsia="en-US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ab/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யாழ்ப்பாணத்தில் உள்ள இந்திய துணை தூதுவர் திரு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சாய் முரளி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2025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 xml:space="preserve">ஜூன் 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19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ஆம் தேதி வவுனியா மாநகர சபையின் புதிய மேயராக தேர்வான திரு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எஸ்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கந்தீபனுடன் இந்திய துணை தூதரகத்தில் பயனுள்ளதுமான சந்திப்பை நடத்தினார்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.</w:t>
      </w:r>
    </w:p>
    <w:p>
      <w:pPr>
        <w:pStyle w:val="Normal"/>
        <w:spacing w:lineRule="auto" w:line="240"/>
        <w:jc w:val="both"/>
        <w:rPr>
          <w:rFonts w:ascii="Vijaya" w:hAnsi="Vijaya" w:cs="Vijaya"/>
          <w:b w:val="false"/>
          <w:bCs w:val="false"/>
          <w:sz w:val="26"/>
          <w:szCs w:val="26"/>
          <w:u w:val="none"/>
          <w:lang w:val="en-US" w:bidi="ta-IN"/>
        </w:rPr>
      </w:pP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2.</w:t>
        <w:tab/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இந்த சந்திப்பின் போது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வீடமைப்பு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கல்வி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சுகாதாரம்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அடிக்கடங்கு மேம்பாடு மற்றும் வர்த்தகம் உள்ளிட்ட பல துறைகளில் வவுனியாவில் இந்திய அரசாங்கத்தின் ஆதரவுடன் நடந்து வரும் திட்டங்கள் குறித்து விரிவாக ஆலோசனை நடத்தப்பட்டது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மேலும்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வவுனியாவின் சமூக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-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அர்த்த வளர்ச்சியை மேம்படுத்தும் புதிய ஒத்துழைப்புத் தரிப்புகள் பற்றியும் விவாதிக்கப்பட்டது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.</w:t>
      </w:r>
    </w:p>
    <w:p>
      <w:pPr>
        <w:pStyle w:val="Normal"/>
        <w:spacing w:lineRule="auto" w:line="240"/>
        <w:jc w:val="both"/>
        <w:rPr>
          <w:rFonts w:ascii="Vijaya" w:hAnsi="Vijaya" w:cs="Vijaya"/>
          <w:b w:val="false"/>
          <w:bCs w:val="false"/>
          <w:sz w:val="26"/>
          <w:szCs w:val="26"/>
          <w:u w:val="none"/>
          <w:lang w:val="en-US" w:bidi="ta-IN"/>
        </w:rPr>
      </w:pP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3.</w:t>
        <w:tab/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மேயர் எஸ்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கந்தீபன்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வவுனியாவிற்கான முக்கிய அபிவிருத்தி முன்னுரிமைகளை வலியுறுத்தி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தொடர்ந்து வழங்கப்படும் ஆதரவு மக்கள் நலனுக்கு எவ்வாறு பயன்படக்கூடும் என்பதையும் எடுத்துரைத்தார்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இதற்குத் பதிலளித்த துணை தூதுவர் திரு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.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சாய் முரளி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வவுனியா மக்களின் நலனுக்காகவும் முன்னேற்றத்திற்காகவும் இந்தியா வழங்கும் உறுதியான உறுதிப்பாட்டை மீண்டும் உறுதி செய்தார்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.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வளர்ச்சித் திட்டங்கள் வெற்றிகரமாக செயல்பட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உள்ளூர் நிர்வாகத்துடன் நெருங்கிய கூட்டாண்மையுடன் செயல்படுவதே இந்தியாவின் நோக்கம் என்பதை அவர் வலியுறுத்தினார்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4.</w:t>
        <w:tab/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இந்த சந்திப்பு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 xml:space="preserve">, </w:t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en-US" w:bidi="ta-IN"/>
        </w:rPr>
        <w:t>இலங்கையின் வட மாகாண மக்களின் நலன் மற்றும் செழிப்புக்காக இந்தியா வழங்கும் திடமான அர்ப்பணிப்பை மீண்டும் உறுதி செய்தது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en-US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  <w:t>5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  <w:tab/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ஒரு சில  பிரதிநிதித்துவ புகைப்படங்கள் இணைக்கப்பட்டுள்ளன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PreformattedText"/>
        <w:spacing w:lineRule="auto" w:line="240" w:before="114" w:after="114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bookmarkStart w:id="0" w:name="tw-target-text"/>
      <w:bookmarkEnd w:id="0"/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ஜூன்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2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0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, 2025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Application>LibreOffice/24.2.7.2$Linux_X86_64 LibreOffice_project/420$Build-2</Application>
  <AppVersion>15.0000</AppVersion>
  <Pages>2</Pages>
  <Words>160</Words>
  <Characters>785</Characters>
  <CharactersWithSpaces>935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2025-06-20T16:33:35Z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